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286" w:rsidRPr="00624A11" w:rsidRDefault="00624A11" w:rsidP="00624A11">
      <w:pPr>
        <w:jc w:val="center"/>
        <w:rPr>
          <w:b/>
          <w:sz w:val="32"/>
          <w:szCs w:val="32"/>
        </w:rPr>
      </w:pPr>
      <w:bookmarkStart w:id="0" w:name="_GoBack"/>
      <w:bookmarkEnd w:id="0"/>
      <w:r>
        <w:rPr>
          <w:b/>
          <w:noProof/>
          <w:sz w:val="32"/>
          <w:szCs w:val="32"/>
        </w:rPr>
        <w:drawing>
          <wp:anchor distT="0" distB="0" distL="114300" distR="114300" simplePos="0" relativeHeight="251658240" behindDoc="0" locked="0" layoutInCell="1" allowOverlap="1">
            <wp:simplePos x="2476500" y="914400"/>
            <wp:positionH relativeFrom="margin">
              <wp:align>left</wp:align>
            </wp:positionH>
            <wp:positionV relativeFrom="margin">
              <wp:align>top</wp:align>
            </wp:positionV>
            <wp:extent cx="971550" cy="1235710"/>
            <wp:effectExtent l="0" t="0" r="0" b="2540"/>
            <wp:wrapSquare wrapText="bothSides"/>
            <wp:docPr id="1" name="Picture 1" descr="\\walesthdc01\users$\Planning\Desktop\New 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esthdc01\users$\Planning\Desktop\New Town Se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1235710"/>
                    </a:xfrm>
                    <a:prstGeom prst="rect">
                      <a:avLst/>
                    </a:prstGeom>
                    <a:noFill/>
                    <a:ln>
                      <a:noFill/>
                    </a:ln>
                  </pic:spPr>
                </pic:pic>
              </a:graphicData>
            </a:graphic>
          </wp:anchor>
        </w:drawing>
      </w:r>
      <w:r>
        <w:rPr>
          <w:b/>
          <w:sz w:val="32"/>
          <w:szCs w:val="32"/>
        </w:rPr>
        <w:t xml:space="preserve">Town of </w:t>
      </w:r>
      <w:r w:rsidRPr="00624A11">
        <w:rPr>
          <w:b/>
          <w:sz w:val="32"/>
          <w:szCs w:val="32"/>
        </w:rPr>
        <w:t>Wales</w:t>
      </w:r>
      <w:r>
        <w:rPr>
          <w:b/>
          <w:sz w:val="32"/>
          <w:szCs w:val="32"/>
        </w:rPr>
        <w:t xml:space="preserve"> ~</w:t>
      </w:r>
      <w:r w:rsidRPr="00624A11">
        <w:rPr>
          <w:b/>
          <w:sz w:val="32"/>
          <w:szCs w:val="32"/>
        </w:rPr>
        <w:t xml:space="preserve"> Planning Board</w:t>
      </w:r>
    </w:p>
    <w:p w:rsidR="00624A11" w:rsidRDefault="00624A11" w:rsidP="00624A11">
      <w:pPr>
        <w:jc w:val="center"/>
        <w:rPr>
          <w:b/>
          <w:sz w:val="32"/>
          <w:szCs w:val="32"/>
        </w:rPr>
      </w:pPr>
      <w:r w:rsidRPr="00624A11">
        <w:rPr>
          <w:b/>
          <w:sz w:val="32"/>
          <w:szCs w:val="32"/>
        </w:rPr>
        <w:t>Application for Special Permit- Car Dealer</w:t>
      </w:r>
    </w:p>
    <w:p w:rsidR="00624A11" w:rsidRDefault="00624A11" w:rsidP="00624A11">
      <w:pPr>
        <w:jc w:val="center"/>
        <w:rPr>
          <w:b/>
          <w:sz w:val="32"/>
          <w:szCs w:val="32"/>
        </w:rPr>
      </w:pPr>
    </w:p>
    <w:p w:rsidR="00624A11" w:rsidRPr="00213B60" w:rsidRDefault="00624A11" w:rsidP="00624A11">
      <w:pPr>
        <w:jc w:val="center"/>
        <w:rPr>
          <w:b/>
          <w:sz w:val="24"/>
          <w:szCs w:val="24"/>
        </w:rPr>
      </w:pPr>
    </w:p>
    <w:p w:rsidR="00624A11" w:rsidRPr="00213B60" w:rsidRDefault="00624A11" w:rsidP="00624A11">
      <w:pPr>
        <w:rPr>
          <w:b/>
          <w:sz w:val="24"/>
          <w:szCs w:val="24"/>
        </w:rPr>
      </w:pPr>
      <w:r w:rsidRPr="00213B60">
        <w:rPr>
          <w:b/>
          <w:sz w:val="24"/>
          <w:szCs w:val="24"/>
        </w:rPr>
        <w:t>Name of Applicant_________________________ Telephone_________________</w:t>
      </w:r>
    </w:p>
    <w:p w:rsidR="00624A11" w:rsidRPr="00213B60" w:rsidRDefault="00624A11" w:rsidP="00624A11">
      <w:pPr>
        <w:rPr>
          <w:b/>
          <w:sz w:val="24"/>
          <w:szCs w:val="24"/>
        </w:rPr>
      </w:pPr>
      <w:r w:rsidRPr="00213B60">
        <w:rPr>
          <w:b/>
          <w:sz w:val="24"/>
          <w:szCs w:val="24"/>
        </w:rPr>
        <w:t>Applicant’s Address___________________________________________________</w:t>
      </w:r>
    </w:p>
    <w:p w:rsidR="00624A11" w:rsidRPr="00213B60" w:rsidRDefault="00624A11" w:rsidP="00624A11">
      <w:pPr>
        <w:rPr>
          <w:b/>
          <w:sz w:val="24"/>
          <w:szCs w:val="24"/>
        </w:rPr>
      </w:pPr>
      <w:r w:rsidRPr="00213B60">
        <w:rPr>
          <w:b/>
          <w:sz w:val="24"/>
          <w:szCs w:val="24"/>
        </w:rPr>
        <w:t>Location of Special Permit Use:</w:t>
      </w:r>
    </w:p>
    <w:p w:rsidR="00624A11" w:rsidRPr="00213B60" w:rsidRDefault="00624A11">
      <w:pPr>
        <w:rPr>
          <w:sz w:val="24"/>
          <w:szCs w:val="24"/>
        </w:rPr>
      </w:pPr>
      <w:r w:rsidRPr="00213B60">
        <w:rPr>
          <w:b/>
          <w:sz w:val="24"/>
          <w:szCs w:val="24"/>
        </w:rPr>
        <w:t>___________________________________________________________________</w:t>
      </w:r>
    </w:p>
    <w:p w:rsidR="00E93CF5" w:rsidRPr="00213B60" w:rsidRDefault="00624A11" w:rsidP="00E93CF5">
      <w:pPr>
        <w:rPr>
          <w:b/>
          <w:sz w:val="24"/>
          <w:szCs w:val="24"/>
        </w:rPr>
      </w:pPr>
      <w:r w:rsidRPr="00213B60">
        <w:rPr>
          <w:b/>
          <w:sz w:val="24"/>
          <w:szCs w:val="24"/>
        </w:rPr>
        <w:t>License Type:</w:t>
      </w:r>
      <w:r w:rsidR="00E93CF5">
        <w:rPr>
          <w:b/>
          <w:sz w:val="24"/>
          <w:szCs w:val="24"/>
        </w:rPr>
        <w:t xml:space="preserve">  </w:t>
      </w:r>
      <w:r w:rsidR="00E93CF5" w:rsidRPr="00213B60">
        <w:rPr>
          <w:b/>
          <w:sz w:val="24"/>
          <w:szCs w:val="24"/>
        </w:rPr>
        <w:t>⃝ Class I</w:t>
      </w:r>
      <w:r w:rsidR="00E93CF5">
        <w:rPr>
          <w:b/>
          <w:sz w:val="24"/>
          <w:szCs w:val="24"/>
        </w:rPr>
        <w:t xml:space="preserve"> </w:t>
      </w:r>
      <w:r w:rsidR="00E93CF5" w:rsidRPr="00213B60">
        <w:rPr>
          <w:b/>
          <w:sz w:val="24"/>
          <w:szCs w:val="24"/>
        </w:rPr>
        <w:t>⃝ Class II ⃝ Class III</w:t>
      </w:r>
    </w:p>
    <w:p w:rsidR="00E93CF5" w:rsidRDefault="00BD4125" w:rsidP="00E93CF5">
      <w:pPr>
        <w:pStyle w:val="NoSpacing"/>
      </w:pPr>
      <w:r w:rsidRPr="00213B60">
        <w:t>Brief</w:t>
      </w:r>
      <w:r w:rsidR="00624A11" w:rsidRPr="00213B60">
        <w:t xml:space="preserve"> description of </w:t>
      </w:r>
      <w:r w:rsidR="00E93CF5">
        <w:t>intended use to include:</w:t>
      </w:r>
    </w:p>
    <w:p w:rsidR="00E93CF5" w:rsidRDefault="00E93CF5" w:rsidP="00E93CF5">
      <w:pPr>
        <w:pStyle w:val="NoSpacing"/>
      </w:pPr>
      <w:r>
        <w:t>• Number of car</w:t>
      </w:r>
    </w:p>
    <w:p w:rsidR="00E93CF5" w:rsidRDefault="00E93CF5" w:rsidP="00E93CF5">
      <w:pPr>
        <w:pStyle w:val="NoSpacing"/>
      </w:pPr>
      <w:r>
        <w:t>•Hours of operation</w:t>
      </w:r>
    </w:p>
    <w:p w:rsidR="00E93CF5" w:rsidRDefault="00E93CF5" w:rsidP="00E93CF5">
      <w:pPr>
        <w:pStyle w:val="NoSpacing"/>
      </w:pPr>
      <w:r>
        <w:t>•Insurance provider</w:t>
      </w:r>
    </w:p>
    <w:p w:rsidR="00E93CF5" w:rsidRDefault="00E93CF5" w:rsidP="00E93CF5">
      <w:pPr>
        <w:pStyle w:val="NoSpacing"/>
      </w:pPr>
      <w:r>
        <w:t>•Signage (number of signs and size)</w:t>
      </w:r>
    </w:p>
    <w:p w:rsidR="00BD4125" w:rsidRPr="00BD4125" w:rsidRDefault="00BD4125" w:rsidP="00BD4125">
      <w:pPr>
        <w:pStyle w:val="NoSpacing"/>
        <w:rPr>
          <w:sz w:val="32"/>
          <w:szCs w:val="32"/>
        </w:rPr>
      </w:pPr>
      <w:r w:rsidRPr="00BD4125">
        <w:rPr>
          <w:sz w:val="32"/>
          <w:szCs w:val="32"/>
        </w:rPr>
        <w:t>_________________________________________________________________________________________________________________________________________________________________________________________________________</w:t>
      </w:r>
    </w:p>
    <w:p w:rsidR="00BD4125" w:rsidRPr="00BD4125" w:rsidRDefault="00BD4125">
      <w:pPr>
        <w:rPr>
          <w:sz w:val="32"/>
          <w:szCs w:val="32"/>
        </w:rPr>
      </w:pPr>
      <w:r w:rsidRPr="00BD4125">
        <w:rPr>
          <w:sz w:val="32"/>
          <w:szCs w:val="32"/>
        </w:rPr>
        <w:t>____________________________________________________________________________________________________________________________________________________________________________________________________</w:t>
      </w:r>
      <w:r>
        <w:rPr>
          <w:sz w:val="32"/>
          <w:szCs w:val="32"/>
        </w:rPr>
        <w:t>_____</w:t>
      </w:r>
    </w:p>
    <w:p w:rsidR="00BD4125" w:rsidRDefault="00BD4125" w:rsidP="00BD4125">
      <w:pPr>
        <w:jc w:val="center"/>
      </w:pPr>
      <w:r>
        <w:t>-------------------------------------------------</w:t>
      </w:r>
      <w:r w:rsidRPr="00BD4125">
        <w:rPr>
          <w:b/>
          <w:sz w:val="24"/>
          <w:szCs w:val="24"/>
        </w:rPr>
        <w:t>Below to be completed by Planning Board</w:t>
      </w:r>
      <w:r>
        <w:t>-------------------------------------------------</w:t>
      </w:r>
    </w:p>
    <w:tbl>
      <w:tblPr>
        <w:tblStyle w:val="TableGrid"/>
        <w:tblW w:w="0" w:type="auto"/>
        <w:jc w:val="center"/>
        <w:tblLook w:val="04A0" w:firstRow="1" w:lastRow="0" w:firstColumn="1" w:lastColumn="0" w:noHBand="0" w:noVBand="1"/>
      </w:tblPr>
      <w:tblGrid>
        <w:gridCol w:w="5049"/>
        <w:gridCol w:w="5049"/>
      </w:tblGrid>
      <w:tr w:rsidR="00992322" w:rsidTr="00213B60">
        <w:trPr>
          <w:trHeight w:val="348"/>
          <w:jc w:val="center"/>
        </w:trPr>
        <w:tc>
          <w:tcPr>
            <w:tcW w:w="5049" w:type="dxa"/>
          </w:tcPr>
          <w:p w:rsidR="00992322" w:rsidRPr="00992322" w:rsidRDefault="00992322" w:rsidP="00213B60">
            <w:pPr>
              <w:rPr>
                <w:sz w:val="24"/>
                <w:szCs w:val="24"/>
              </w:rPr>
            </w:pPr>
            <w:r>
              <w:rPr>
                <w:sz w:val="24"/>
                <w:szCs w:val="24"/>
              </w:rPr>
              <w:t>DATE FILED:</w:t>
            </w:r>
          </w:p>
        </w:tc>
        <w:tc>
          <w:tcPr>
            <w:tcW w:w="5049" w:type="dxa"/>
          </w:tcPr>
          <w:p w:rsidR="00992322" w:rsidRDefault="00992322" w:rsidP="00992322">
            <w:r>
              <w:t>PUBLIC HEARING DATE:</w:t>
            </w:r>
          </w:p>
        </w:tc>
      </w:tr>
      <w:tr w:rsidR="00992322" w:rsidTr="00213B60">
        <w:trPr>
          <w:trHeight w:val="348"/>
          <w:jc w:val="center"/>
        </w:trPr>
        <w:tc>
          <w:tcPr>
            <w:tcW w:w="5049" w:type="dxa"/>
          </w:tcPr>
          <w:p w:rsidR="00992322" w:rsidRDefault="00992322" w:rsidP="00992322"/>
        </w:tc>
        <w:tc>
          <w:tcPr>
            <w:tcW w:w="5049" w:type="dxa"/>
          </w:tcPr>
          <w:p w:rsidR="00992322" w:rsidRDefault="00992322" w:rsidP="00992322">
            <w:r>
              <w:t>(within 65 days of filing)</w:t>
            </w:r>
          </w:p>
        </w:tc>
      </w:tr>
      <w:tr w:rsidR="00992322" w:rsidTr="00213B60">
        <w:trPr>
          <w:trHeight w:val="330"/>
          <w:jc w:val="center"/>
        </w:trPr>
        <w:tc>
          <w:tcPr>
            <w:tcW w:w="5049" w:type="dxa"/>
          </w:tcPr>
          <w:p w:rsidR="00992322" w:rsidRPr="00992322" w:rsidRDefault="00992322" w:rsidP="00992322">
            <w:pPr>
              <w:rPr>
                <w:sz w:val="24"/>
                <w:szCs w:val="24"/>
              </w:rPr>
            </w:pPr>
            <w:r w:rsidRPr="00992322">
              <w:rPr>
                <w:sz w:val="24"/>
                <w:szCs w:val="24"/>
              </w:rPr>
              <w:t>COPY TO TOWN CLERK:</w:t>
            </w:r>
          </w:p>
        </w:tc>
        <w:tc>
          <w:tcPr>
            <w:tcW w:w="5049" w:type="dxa"/>
          </w:tcPr>
          <w:p w:rsidR="00992322" w:rsidRDefault="00992322" w:rsidP="00992322">
            <w:r>
              <w:t>DECISION DATE:</w:t>
            </w:r>
          </w:p>
        </w:tc>
      </w:tr>
      <w:tr w:rsidR="00992322" w:rsidTr="00213B60">
        <w:trPr>
          <w:trHeight w:val="348"/>
          <w:jc w:val="center"/>
        </w:trPr>
        <w:tc>
          <w:tcPr>
            <w:tcW w:w="5049" w:type="dxa"/>
          </w:tcPr>
          <w:p w:rsidR="00992322" w:rsidRDefault="00992322" w:rsidP="00992322"/>
        </w:tc>
        <w:tc>
          <w:tcPr>
            <w:tcW w:w="5049" w:type="dxa"/>
          </w:tcPr>
          <w:p w:rsidR="00992322" w:rsidRDefault="00992322" w:rsidP="00992322">
            <w:r>
              <w:t>(within 90 days of hearing)</w:t>
            </w:r>
          </w:p>
        </w:tc>
      </w:tr>
      <w:tr w:rsidR="00992322" w:rsidTr="00213B60">
        <w:trPr>
          <w:trHeight w:val="330"/>
          <w:jc w:val="center"/>
        </w:trPr>
        <w:tc>
          <w:tcPr>
            <w:tcW w:w="5049" w:type="dxa"/>
          </w:tcPr>
          <w:p w:rsidR="00992322" w:rsidRDefault="00992322" w:rsidP="00992322">
            <w:r>
              <w:t xml:space="preserve">PERMIT FEE PAID: </w:t>
            </w:r>
          </w:p>
        </w:tc>
        <w:tc>
          <w:tcPr>
            <w:tcW w:w="5049" w:type="dxa"/>
          </w:tcPr>
          <w:p w:rsidR="00992322" w:rsidRDefault="00992322" w:rsidP="00992322">
            <w:r>
              <w:t>HEARING FEE’S PAID:</w:t>
            </w:r>
          </w:p>
        </w:tc>
      </w:tr>
      <w:tr w:rsidR="00992322" w:rsidTr="00213B60">
        <w:trPr>
          <w:trHeight w:val="348"/>
          <w:jc w:val="center"/>
        </w:trPr>
        <w:tc>
          <w:tcPr>
            <w:tcW w:w="5049" w:type="dxa"/>
          </w:tcPr>
          <w:p w:rsidR="00992322" w:rsidRDefault="00992322" w:rsidP="00992322"/>
        </w:tc>
        <w:tc>
          <w:tcPr>
            <w:tcW w:w="5049" w:type="dxa"/>
          </w:tcPr>
          <w:p w:rsidR="00992322" w:rsidRDefault="00992322" w:rsidP="00992322">
            <w:r>
              <w:t>(advertising, abutter notices)</w:t>
            </w:r>
          </w:p>
        </w:tc>
      </w:tr>
      <w:tr w:rsidR="00992322" w:rsidTr="00213B60">
        <w:trPr>
          <w:trHeight w:val="348"/>
          <w:jc w:val="center"/>
        </w:trPr>
        <w:tc>
          <w:tcPr>
            <w:tcW w:w="5049" w:type="dxa"/>
          </w:tcPr>
          <w:p w:rsidR="00992322" w:rsidRDefault="00992322" w:rsidP="00992322"/>
        </w:tc>
        <w:tc>
          <w:tcPr>
            <w:tcW w:w="5049" w:type="dxa"/>
          </w:tcPr>
          <w:p w:rsidR="00992322" w:rsidRDefault="00992322" w:rsidP="00992322"/>
        </w:tc>
      </w:tr>
    </w:tbl>
    <w:p w:rsidR="00992322" w:rsidRDefault="00992322" w:rsidP="00992322">
      <w:pPr>
        <w:sectPr w:rsidR="00992322" w:rsidSect="00624A11">
          <w:pgSz w:w="12240" w:h="15840"/>
          <w:pgMar w:top="720" w:right="720" w:bottom="720" w:left="720" w:header="720" w:footer="720" w:gutter="0"/>
          <w:cols w:space="720"/>
          <w:docGrid w:linePitch="360"/>
        </w:sectPr>
      </w:pPr>
    </w:p>
    <w:p w:rsidR="00213B60" w:rsidRDefault="00213B60" w:rsidP="00992322">
      <w:pPr>
        <w:rPr>
          <w:sz w:val="21"/>
          <w:szCs w:val="21"/>
        </w:rPr>
      </w:pPr>
    </w:p>
    <w:p w:rsidR="00213B60" w:rsidRDefault="00213B60" w:rsidP="00992322">
      <w:pPr>
        <w:shd w:val="clear" w:color="auto" w:fill="FFFFFF"/>
        <w:spacing w:before="300" w:after="150" w:line="240" w:lineRule="auto"/>
        <w:jc w:val="center"/>
        <w:outlineLvl w:val="1"/>
        <w:rPr>
          <w:rFonts w:ascii="inherit" w:eastAsia="Times New Roman" w:hAnsi="inherit" w:cs="Helvetica"/>
          <w:color w:val="333333"/>
          <w:sz w:val="21"/>
          <w:szCs w:val="21"/>
          <w:lang w:val="en"/>
        </w:rPr>
      </w:pPr>
    </w:p>
    <w:p w:rsidR="00213B60" w:rsidRDefault="00213B60" w:rsidP="00992322">
      <w:pPr>
        <w:shd w:val="clear" w:color="auto" w:fill="FFFFFF"/>
        <w:spacing w:before="300" w:after="150" w:line="240" w:lineRule="auto"/>
        <w:jc w:val="center"/>
        <w:outlineLvl w:val="1"/>
        <w:rPr>
          <w:rFonts w:ascii="inherit" w:eastAsia="Times New Roman" w:hAnsi="inherit" w:cs="Helvetica"/>
          <w:color w:val="333333"/>
          <w:sz w:val="21"/>
          <w:szCs w:val="21"/>
          <w:lang w:val="en"/>
        </w:rPr>
      </w:pPr>
    </w:p>
    <w:p w:rsidR="00213B60" w:rsidRDefault="00213B60" w:rsidP="00992322">
      <w:pPr>
        <w:shd w:val="clear" w:color="auto" w:fill="FFFFFF"/>
        <w:spacing w:before="300" w:after="150" w:line="240" w:lineRule="auto"/>
        <w:jc w:val="center"/>
        <w:outlineLvl w:val="1"/>
        <w:rPr>
          <w:rFonts w:ascii="inherit" w:eastAsia="Times New Roman" w:hAnsi="inherit" w:cs="Helvetica"/>
          <w:color w:val="333333"/>
          <w:sz w:val="21"/>
          <w:szCs w:val="21"/>
          <w:lang w:val="en"/>
        </w:rPr>
      </w:pPr>
    </w:p>
    <w:p w:rsidR="00E93CF5" w:rsidRDefault="00E93CF5" w:rsidP="00992322">
      <w:pPr>
        <w:shd w:val="clear" w:color="auto" w:fill="FFFFFF"/>
        <w:spacing w:before="300" w:after="150" w:line="240" w:lineRule="auto"/>
        <w:jc w:val="center"/>
        <w:outlineLvl w:val="1"/>
        <w:rPr>
          <w:rFonts w:ascii="inherit" w:eastAsia="Times New Roman" w:hAnsi="inherit" w:cs="Helvetica"/>
          <w:color w:val="333333"/>
          <w:sz w:val="21"/>
          <w:szCs w:val="21"/>
          <w:lang w:val="en"/>
        </w:rPr>
      </w:pPr>
    </w:p>
    <w:p w:rsidR="00E93CF5" w:rsidRDefault="00E93CF5" w:rsidP="00992322">
      <w:pPr>
        <w:shd w:val="clear" w:color="auto" w:fill="FFFFFF"/>
        <w:spacing w:before="300" w:after="150" w:line="240" w:lineRule="auto"/>
        <w:jc w:val="center"/>
        <w:outlineLvl w:val="1"/>
        <w:rPr>
          <w:rFonts w:ascii="inherit" w:eastAsia="Times New Roman" w:hAnsi="inherit" w:cs="Helvetica"/>
          <w:color w:val="333333"/>
          <w:sz w:val="21"/>
          <w:szCs w:val="21"/>
          <w:lang w:val="en"/>
        </w:rPr>
      </w:pPr>
    </w:p>
    <w:p w:rsidR="00E93CF5" w:rsidRDefault="00E93CF5" w:rsidP="00992322">
      <w:pPr>
        <w:shd w:val="clear" w:color="auto" w:fill="FFFFFF"/>
        <w:spacing w:before="300" w:after="150" w:line="240" w:lineRule="auto"/>
        <w:jc w:val="center"/>
        <w:outlineLvl w:val="1"/>
        <w:rPr>
          <w:rFonts w:ascii="inherit" w:eastAsia="Times New Roman" w:hAnsi="inherit" w:cs="Helvetica"/>
          <w:color w:val="333333"/>
          <w:sz w:val="21"/>
          <w:szCs w:val="21"/>
          <w:lang w:val="en"/>
        </w:rPr>
      </w:pPr>
    </w:p>
    <w:p w:rsidR="00E93CF5" w:rsidRDefault="00E93CF5" w:rsidP="00992322">
      <w:pPr>
        <w:shd w:val="clear" w:color="auto" w:fill="FFFFFF"/>
        <w:spacing w:before="300" w:after="150" w:line="240" w:lineRule="auto"/>
        <w:jc w:val="center"/>
        <w:outlineLvl w:val="1"/>
        <w:rPr>
          <w:rFonts w:ascii="inherit" w:eastAsia="Times New Roman" w:hAnsi="inherit" w:cs="Helvetica"/>
          <w:color w:val="333333"/>
          <w:sz w:val="21"/>
          <w:szCs w:val="21"/>
          <w:lang w:val="en"/>
        </w:rPr>
      </w:pPr>
    </w:p>
    <w:p w:rsidR="00E93CF5" w:rsidRDefault="00E93CF5" w:rsidP="00992322">
      <w:pPr>
        <w:shd w:val="clear" w:color="auto" w:fill="FFFFFF"/>
        <w:spacing w:before="300" w:after="150" w:line="240" w:lineRule="auto"/>
        <w:jc w:val="center"/>
        <w:outlineLvl w:val="1"/>
        <w:rPr>
          <w:rFonts w:ascii="inherit" w:eastAsia="Times New Roman" w:hAnsi="inherit" w:cs="Helvetica"/>
          <w:color w:val="333333"/>
          <w:sz w:val="21"/>
          <w:szCs w:val="21"/>
          <w:lang w:val="en"/>
        </w:rPr>
      </w:pPr>
    </w:p>
    <w:p w:rsidR="00992322" w:rsidRPr="00E462D1" w:rsidRDefault="00992322" w:rsidP="00992322">
      <w:pPr>
        <w:shd w:val="clear" w:color="auto" w:fill="FFFFFF"/>
        <w:spacing w:before="300" w:after="150" w:line="240" w:lineRule="auto"/>
        <w:jc w:val="center"/>
        <w:outlineLvl w:val="1"/>
        <w:rPr>
          <w:rFonts w:ascii="inherit" w:eastAsia="Times New Roman" w:hAnsi="inherit" w:cs="Helvetica"/>
          <w:color w:val="333333"/>
          <w:sz w:val="21"/>
          <w:szCs w:val="21"/>
          <w:lang w:val="en"/>
        </w:rPr>
      </w:pPr>
      <w:r w:rsidRPr="00E462D1">
        <w:rPr>
          <w:rFonts w:ascii="inherit" w:eastAsia="Times New Roman" w:hAnsi="inherit" w:cs="Helvetica"/>
          <w:color w:val="333333"/>
          <w:sz w:val="21"/>
          <w:szCs w:val="21"/>
          <w:lang w:val="en"/>
        </w:rPr>
        <w:t xml:space="preserve">M.G.L. Chapter 140 Section 58: </w:t>
      </w:r>
      <w:r w:rsidRPr="00E462D1">
        <w:rPr>
          <w:rFonts w:ascii="inherit" w:eastAsia="Times New Roman" w:hAnsi="inherit" w:cs="Helvetica"/>
          <w:color w:val="777777"/>
          <w:sz w:val="21"/>
          <w:szCs w:val="21"/>
          <w:lang w:val="en"/>
        </w:rPr>
        <w:t>Classes</w:t>
      </w:r>
      <w:r w:rsidRPr="00E462D1">
        <w:rPr>
          <w:rFonts w:ascii="inherit" w:eastAsia="Times New Roman" w:hAnsi="inherit" w:cs="Helvetica"/>
          <w:color w:val="333333"/>
          <w:sz w:val="21"/>
          <w:szCs w:val="21"/>
          <w:lang w:val="en"/>
        </w:rPr>
        <w:t xml:space="preserve"> </w:t>
      </w:r>
    </w:p>
    <w:p w:rsidR="00992322" w:rsidRPr="00E462D1" w:rsidRDefault="00992322" w:rsidP="00992322">
      <w:pPr>
        <w:shd w:val="clear" w:color="auto" w:fill="FFFFFF"/>
        <w:spacing w:after="150" w:line="240" w:lineRule="auto"/>
        <w:rPr>
          <w:rFonts w:ascii="Helvetica" w:eastAsia="Times New Roman" w:hAnsi="Helvetica" w:cs="Helvetica"/>
          <w:color w:val="333333"/>
          <w:sz w:val="21"/>
          <w:szCs w:val="21"/>
          <w:lang w:val="en"/>
        </w:rPr>
      </w:pPr>
      <w:r w:rsidRPr="00E462D1">
        <w:rPr>
          <w:rFonts w:ascii="Helvetica" w:eastAsia="Times New Roman" w:hAnsi="Helvetica" w:cs="Helvetica"/>
          <w:color w:val="333333"/>
          <w:sz w:val="21"/>
          <w:szCs w:val="21"/>
          <w:lang w:val="en"/>
        </w:rPr>
        <w:t xml:space="preserve">Section 58. </w:t>
      </w:r>
    </w:p>
    <w:p w:rsidR="00992322" w:rsidRPr="00E462D1" w:rsidRDefault="00992322" w:rsidP="00992322">
      <w:pPr>
        <w:shd w:val="clear" w:color="auto" w:fill="FFFFFF"/>
        <w:spacing w:after="150" w:line="240" w:lineRule="auto"/>
        <w:rPr>
          <w:rFonts w:ascii="Helvetica" w:eastAsia="Times New Roman" w:hAnsi="Helvetica" w:cs="Helvetica"/>
          <w:color w:val="333333"/>
          <w:sz w:val="21"/>
          <w:szCs w:val="21"/>
          <w:lang w:val="en"/>
        </w:rPr>
      </w:pPr>
      <w:r w:rsidRPr="00E462D1">
        <w:rPr>
          <w:rFonts w:ascii="Helvetica" w:eastAsia="Times New Roman" w:hAnsi="Helvetica" w:cs="Helvetica"/>
          <w:color w:val="333333"/>
          <w:sz w:val="21"/>
          <w:szCs w:val="21"/>
          <w:lang w:val="en"/>
        </w:rPr>
        <w:t xml:space="preserve">(a) Licenses granted under sections 59 and 59A shall be classified in accordance with subsections (b) to (d), inclusive. </w:t>
      </w:r>
    </w:p>
    <w:p w:rsidR="00992322" w:rsidRPr="00E462D1" w:rsidRDefault="00E462D1" w:rsidP="00992322">
      <w:pPr>
        <w:shd w:val="clear" w:color="auto" w:fill="FFFFFF"/>
        <w:spacing w:after="150" w:line="240" w:lineRule="auto"/>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b)</w:t>
      </w:r>
      <w:r w:rsidR="00992322" w:rsidRPr="00E462D1">
        <w:rPr>
          <w:rFonts w:ascii="Helvetica" w:eastAsia="Times New Roman" w:hAnsi="Helvetica" w:cs="Helvetica"/>
          <w:color w:val="333333"/>
          <w:sz w:val="21"/>
          <w:szCs w:val="21"/>
          <w:lang w:val="en"/>
        </w:rPr>
        <w:t xml:space="preserve"> </w:t>
      </w:r>
      <w:r w:rsidR="00992322" w:rsidRPr="00E462D1">
        <w:rPr>
          <w:rFonts w:ascii="Helvetica" w:eastAsia="Times New Roman" w:hAnsi="Helvetica" w:cs="Helvetica"/>
          <w:b/>
          <w:color w:val="333333"/>
          <w:sz w:val="21"/>
          <w:szCs w:val="21"/>
          <w:lang w:val="en"/>
        </w:rPr>
        <w:t>Class 1</w:t>
      </w:r>
      <w:r w:rsidR="00992322" w:rsidRPr="00E462D1">
        <w:rPr>
          <w:rFonts w:ascii="Helvetica" w:eastAsia="Times New Roman" w:hAnsi="Helvetica" w:cs="Helvetica"/>
          <w:color w:val="333333"/>
          <w:sz w:val="21"/>
          <w:szCs w:val="21"/>
          <w:lang w:val="en"/>
        </w:rPr>
        <w:t xml:space="preserve">. Any person who is a recognized agent of a motor vehicle manufacturer or a seller of motor vehicles made by such manufacturer whose authority to sell the same is created by a written contract with such manufacturer or with some person authorized in writing by such manufacturer to enter into such contract, and whose principal business is the sale of new motor vehicles, the purchase and sale of second hand motor vehicles being incidental or secondary thereto, may be granted an agent's or a seller's license; provided, that with respect to second hand motor vehicles purchased for the purpose of sale or exchange and not taken in trade for new motor vehicles, such dealer shall be subject to all provisions of this chapter applicable to holders of licenses of Class 2, except subsection (c), and to rules and regulations made under those provisions; and provided further, that such dealer maintains or demonstrates access to repair facilities sufficient to enable him to satisfy the warranty repair obligations imposed by section 7N 1/4 of chapter 90, and shall remain liable for all warranty repairs made and other obligations imposed by said section 7N 1/4 of said chapter 90. </w:t>
      </w:r>
    </w:p>
    <w:p w:rsidR="00992322" w:rsidRPr="00E462D1" w:rsidRDefault="00E462D1" w:rsidP="00992322">
      <w:pPr>
        <w:shd w:val="clear" w:color="auto" w:fill="FFFFFF"/>
        <w:spacing w:after="150" w:line="240" w:lineRule="auto"/>
        <w:rPr>
          <w:rFonts w:ascii="Helvetica" w:eastAsia="Times New Roman" w:hAnsi="Helvetica" w:cs="Helvetica"/>
          <w:color w:val="333333"/>
          <w:sz w:val="21"/>
          <w:szCs w:val="21"/>
          <w:lang w:val="en"/>
        </w:rPr>
      </w:pPr>
      <w:r w:rsidRPr="00E462D1">
        <w:rPr>
          <w:rFonts w:ascii="Helvetica" w:eastAsia="Times New Roman" w:hAnsi="Helvetica" w:cs="Helvetica"/>
          <w:color w:val="333333"/>
          <w:sz w:val="21"/>
          <w:szCs w:val="21"/>
          <w:lang w:val="en"/>
        </w:rPr>
        <w:t>c)</w:t>
      </w:r>
      <w:r>
        <w:rPr>
          <w:rFonts w:ascii="Helvetica" w:eastAsia="Times New Roman" w:hAnsi="Helvetica" w:cs="Helvetica"/>
          <w:b/>
          <w:color w:val="333333"/>
          <w:sz w:val="21"/>
          <w:szCs w:val="21"/>
          <w:lang w:val="en"/>
        </w:rPr>
        <w:t xml:space="preserve"> </w:t>
      </w:r>
      <w:r w:rsidR="00992322" w:rsidRPr="00E462D1">
        <w:rPr>
          <w:rFonts w:ascii="Helvetica" w:eastAsia="Times New Roman" w:hAnsi="Helvetica" w:cs="Helvetica"/>
          <w:b/>
          <w:color w:val="333333"/>
          <w:sz w:val="21"/>
          <w:szCs w:val="21"/>
          <w:lang w:val="en"/>
        </w:rPr>
        <w:t>Class 2</w:t>
      </w:r>
      <w:r w:rsidR="00992322" w:rsidRPr="00E462D1">
        <w:rPr>
          <w:rFonts w:ascii="Helvetica" w:eastAsia="Times New Roman" w:hAnsi="Helvetica" w:cs="Helvetica"/>
          <w:color w:val="333333"/>
          <w:sz w:val="21"/>
          <w:szCs w:val="21"/>
          <w:lang w:val="en"/>
        </w:rPr>
        <w:t xml:space="preserve">. A person whose principal business is the buying or selling of second hand motor vehicles, a </w:t>
      </w:r>
      <w:r w:rsidR="00992322" w:rsidRPr="00E462D1">
        <w:rPr>
          <w:rFonts w:ascii="Helvetica" w:eastAsia="Times New Roman" w:hAnsi="Helvetica" w:cs="Helvetica"/>
          <w:color w:val="333333"/>
          <w:sz w:val="21"/>
          <w:szCs w:val="21"/>
          <w:lang w:val="en"/>
        </w:rPr>
        <w:lastRenderedPageBreak/>
        <w:t xml:space="preserve">person who purchases and displays second hand motor vehicles for resale in retail transactions, and any other person who displays second hand motor vehicles not owned by him pursuant to an agreement in which he receives compensation, whether solely for displaying the vehicles, upon the sale of each vehicle, or otherwise, may be granted a used car dealer's license and shall be subject to the following conditions: </w:t>
      </w:r>
    </w:p>
    <w:p w:rsidR="00E462D1" w:rsidRPr="00E462D1" w:rsidRDefault="00992322" w:rsidP="00E462D1">
      <w:pPr>
        <w:pStyle w:val="NormalWeb"/>
        <w:shd w:val="clear" w:color="auto" w:fill="FFFFFF"/>
        <w:rPr>
          <w:rFonts w:ascii="Helvetica" w:hAnsi="Helvetica" w:cs="Arial"/>
          <w:color w:val="333333"/>
          <w:sz w:val="21"/>
          <w:szCs w:val="21"/>
          <w:lang w:val="en"/>
        </w:rPr>
      </w:pPr>
      <w:r w:rsidRPr="00E462D1">
        <w:rPr>
          <w:rFonts w:ascii="Helvetica" w:hAnsi="Helvetica" w:cs="Helvetica"/>
          <w:color w:val="333333"/>
          <w:sz w:val="21"/>
          <w:szCs w:val="21"/>
          <w:lang w:val="en"/>
        </w:rPr>
        <w:t>(1) The person shall obtain a bond, or equivalent proof of financial responsibility as described in paragraph (5), and continue in effect a surety bond or other equivalent proof of financial responsibility satisfactory to the municipal licensing authority in the amount of $25,000 executed by a surety company authorized by the insurance department to transact business in the commonwealth.</w:t>
      </w:r>
      <w:r w:rsidR="00E462D1" w:rsidRPr="00E462D1">
        <w:rPr>
          <w:rFonts w:ascii="Helvetica" w:hAnsi="Helvetica" w:cs="Arial"/>
          <w:color w:val="333333"/>
          <w:sz w:val="21"/>
          <w:szCs w:val="21"/>
          <w:lang w:val="en"/>
        </w:rPr>
        <w:t xml:space="preserve"> (d) </w:t>
      </w:r>
    </w:p>
    <w:p w:rsidR="00E462D1" w:rsidRPr="00E462D1" w:rsidRDefault="00E462D1" w:rsidP="00E462D1">
      <w:pPr>
        <w:pStyle w:val="NormalWeb"/>
        <w:shd w:val="clear" w:color="auto" w:fill="FFFFFF"/>
        <w:rPr>
          <w:rFonts w:ascii="Helvetica" w:hAnsi="Helvetica" w:cs="Arial"/>
          <w:color w:val="333333"/>
          <w:sz w:val="21"/>
          <w:szCs w:val="21"/>
          <w:lang w:val="en"/>
        </w:rPr>
      </w:pPr>
      <w:r w:rsidRPr="00E462D1">
        <w:rPr>
          <w:rFonts w:ascii="Helvetica" w:hAnsi="Helvetica" w:cs="Arial"/>
          <w:b/>
          <w:color w:val="333333"/>
          <w:sz w:val="21"/>
          <w:szCs w:val="21"/>
          <w:lang w:val="en"/>
        </w:rPr>
        <w:t>Class 3</w:t>
      </w:r>
      <w:r w:rsidRPr="00E462D1">
        <w:rPr>
          <w:rFonts w:ascii="Helvetica" w:hAnsi="Helvetica" w:cs="Arial"/>
          <w:color w:val="333333"/>
          <w:sz w:val="21"/>
          <w:szCs w:val="21"/>
          <w:lang w:val="en"/>
        </w:rPr>
        <w:t xml:space="preserve">. A person whose principal business is the buying of second hand motor vehicles for the purpose of remodeling, taking apart or rebuilding and selling the same, or the buying or selling of parts of second hand motor vehicles or tires, or the assembling of second hand motor vehicle parts may be granted a motor vehicle junk license. </w:t>
      </w:r>
    </w:p>
    <w:p w:rsidR="00E462D1" w:rsidRPr="00E462D1" w:rsidRDefault="00E462D1" w:rsidP="00E462D1">
      <w:pPr>
        <w:pStyle w:val="NormalWeb"/>
        <w:shd w:val="clear" w:color="auto" w:fill="FFFFFF"/>
        <w:rPr>
          <w:rFonts w:ascii="Helvetica" w:hAnsi="Helvetica" w:cs="Arial"/>
          <w:color w:val="333333"/>
          <w:sz w:val="21"/>
          <w:szCs w:val="21"/>
          <w:lang w:val="en"/>
        </w:rPr>
      </w:pPr>
      <w:r w:rsidRPr="00E462D1">
        <w:rPr>
          <w:rFonts w:ascii="Helvetica" w:hAnsi="Helvetica" w:cs="Arial"/>
          <w:color w:val="333333"/>
          <w:sz w:val="21"/>
          <w:szCs w:val="21"/>
          <w:lang w:val="en"/>
        </w:rPr>
        <w:t xml:space="preserve">(e) The registrar of motor vehicles, after consulting the office of consumer affairs and business regulation, shall adopt rules and regulations defining sufficient repair facilities for the purposes of subsection (b) and paragraph (8) of subsection (c). </w:t>
      </w:r>
    </w:p>
    <w:p w:rsidR="00BD4125" w:rsidRPr="00992322" w:rsidRDefault="00BD4125" w:rsidP="00992322">
      <w:pPr>
        <w:rPr>
          <w:sz w:val="24"/>
          <w:szCs w:val="24"/>
        </w:rPr>
      </w:pPr>
    </w:p>
    <w:p w:rsidR="00992322" w:rsidRDefault="00992322" w:rsidP="00624A11">
      <w:pPr>
        <w:rPr>
          <w:b/>
          <w:sz w:val="32"/>
          <w:szCs w:val="32"/>
        </w:rPr>
      </w:pPr>
    </w:p>
    <w:p w:rsidR="00992322" w:rsidRDefault="00992322" w:rsidP="00624A11">
      <w:pPr>
        <w:rPr>
          <w:b/>
          <w:sz w:val="32"/>
          <w:szCs w:val="32"/>
        </w:rPr>
        <w:sectPr w:rsidR="00992322" w:rsidSect="00992322">
          <w:type w:val="continuous"/>
          <w:pgSz w:w="12240" w:h="15840"/>
          <w:pgMar w:top="720" w:right="720" w:bottom="720" w:left="720" w:header="720" w:footer="720" w:gutter="0"/>
          <w:cols w:num="2" w:space="720"/>
          <w:docGrid w:linePitch="360"/>
        </w:sectPr>
      </w:pPr>
    </w:p>
    <w:p w:rsidR="007064B0" w:rsidRDefault="007064B0" w:rsidP="00992322">
      <w:pPr>
        <w:pStyle w:val="Default"/>
        <w:rPr>
          <w:rFonts w:asciiTheme="minorHAnsi" w:hAnsiTheme="minorHAnsi"/>
          <w:b/>
          <w:bCs/>
        </w:rPr>
      </w:pPr>
    </w:p>
    <w:p w:rsidR="00992322" w:rsidRDefault="00992322" w:rsidP="00992322">
      <w:pPr>
        <w:pStyle w:val="Default"/>
        <w:rPr>
          <w:rFonts w:asciiTheme="minorHAnsi" w:hAnsiTheme="minorHAnsi"/>
          <w:b/>
          <w:bCs/>
        </w:rPr>
      </w:pPr>
      <w:r>
        <w:rPr>
          <w:rFonts w:asciiTheme="minorHAnsi" w:hAnsiTheme="minorHAnsi"/>
          <w:b/>
          <w:bCs/>
        </w:rPr>
        <w:t>Wales Zoning</w:t>
      </w:r>
    </w:p>
    <w:p w:rsidR="00992322" w:rsidRPr="00992322" w:rsidRDefault="00992322" w:rsidP="00992322">
      <w:pPr>
        <w:pStyle w:val="Default"/>
        <w:rPr>
          <w:rFonts w:asciiTheme="minorHAnsi" w:hAnsiTheme="minorHAnsi"/>
        </w:rPr>
      </w:pPr>
      <w:r w:rsidRPr="00992322">
        <w:rPr>
          <w:rFonts w:asciiTheme="minorHAnsi" w:hAnsiTheme="minorHAnsi"/>
          <w:b/>
          <w:bCs/>
        </w:rPr>
        <w:t xml:space="preserve">7.4 UNREGISTERED MOTOR VEHICLES </w:t>
      </w:r>
    </w:p>
    <w:p w:rsidR="00992322" w:rsidRPr="00992322" w:rsidRDefault="00992322" w:rsidP="00992322">
      <w:pPr>
        <w:pStyle w:val="Default"/>
        <w:rPr>
          <w:rFonts w:asciiTheme="minorHAnsi" w:hAnsiTheme="minorHAnsi" w:cs="Times New Roman"/>
        </w:rPr>
      </w:pPr>
      <w:r w:rsidRPr="00992322">
        <w:rPr>
          <w:rFonts w:asciiTheme="minorHAnsi" w:hAnsiTheme="minorHAnsi" w:cs="Times New Roman"/>
        </w:rPr>
        <w:t xml:space="preserve">(Originally voted 3/16/77) </w:t>
      </w:r>
    </w:p>
    <w:p w:rsidR="00992322" w:rsidRPr="00992322" w:rsidRDefault="00992322" w:rsidP="00992322">
      <w:pPr>
        <w:pStyle w:val="Default"/>
        <w:rPr>
          <w:rFonts w:asciiTheme="minorHAnsi" w:hAnsiTheme="minorHAnsi"/>
        </w:rPr>
      </w:pPr>
      <w:r w:rsidRPr="00992322">
        <w:rPr>
          <w:rFonts w:asciiTheme="minorHAnsi" w:hAnsiTheme="minorHAnsi"/>
          <w:b/>
          <w:bCs/>
        </w:rPr>
        <w:t xml:space="preserve">7.4.0 General Requirements </w:t>
      </w:r>
    </w:p>
    <w:p w:rsidR="00992322" w:rsidRPr="00992322" w:rsidRDefault="00992322" w:rsidP="00992322">
      <w:pPr>
        <w:pStyle w:val="Default"/>
        <w:rPr>
          <w:rFonts w:asciiTheme="minorHAnsi" w:hAnsiTheme="minorHAnsi"/>
          <w:b/>
          <w:bCs/>
        </w:rPr>
      </w:pPr>
      <w:r w:rsidRPr="00992322">
        <w:rPr>
          <w:rFonts w:asciiTheme="minorHAnsi" w:hAnsiTheme="minorHAnsi" w:cs="Times New Roman"/>
        </w:rPr>
        <w:t>No more than one unregistered motor vehicle, assembled or disassembled, shall be kept, stored, or allowed to remain on a parcel of land except by a person duly licensed under M.G.L. Chapter 140, Section 59 and except as provided in Section 4.0 of this bylaw or as allowed by Special Permit pursuant to Section 8.4 below.</w:t>
      </w:r>
    </w:p>
    <w:p w:rsidR="00992322" w:rsidRPr="00992322" w:rsidRDefault="00992322" w:rsidP="00992322">
      <w:pPr>
        <w:pStyle w:val="Default"/>
        <w:rPr>
          <w:rFonts w:asciiTheme="minorHAnsi" w:hAnsiTheme="minorHAnsi"/>
        </w:rPr>
      </w:pPr>
      <w:r w:rsidRPr="00992322">
        <w:rPr>
          <w:rFonts w:asciiTheme="minorHAnsi" w:hAnsiTheme="minorHAnsi"/>
          <w:b/>
          <w:bCs/>
        </w:rPr>
        <w:t xml:space="preserve">7.4.1 Special Permit Requirements. </w:t>
      </w:r>
    </w:p>
    <w:p w:rsidR="00992322" w:rsidRPr="00992322" w:rsidRDefault="00992322" w:rsidP="00992322">
      <w:pPr>
        <w:pStyle w:val="Default"/>
        <w:rPr>
          <w:rFonts w:asciiTheme="minorHAnsi" w:hAnsiTheme="minorHAnsi" w:cs="Times New Roman"/>
        </w:rPr>
      </w:pPr>
      <w:r w:rsidRPr="00992322">
        <w:rPr>
          <w:rFonts w:asciiTheme="minorHAnsi" w:hAnsiTheme="minorHAnsi" w:cs="Times New Roman"/>
        </w:rPr>
        <w:t xml:space="preserve">7.4.1.0 For purposes of this Section the Board of Selectmen shall be the SPGA. </w:t>
      </w:r>
    </w:p>
    <w:p w:rsidR="00992322" w:rsidRPr="00992322" w:rsidRDefault="00992322" w:rsidP="00992322">
      <w:pPr>
        <w:pStyle w:val="Default"/>
        <w:rPr>
          <w:rFonts w:asciiTheme="minorHAnsi" w:hAnsiTheme="minorHAnsi" w:cs="Times New Roman"/>
        </w:rPr>
      </w:pPr>
      <w:r w:rsidRPr="00992322">
        <w:rPr>
          <w:rFonts w:asciiTheme="minorHAnsi" w:hAnsiTheme="minorHAnsi" w:cs="Times New Roman"/>
        </w:rPr>
        <w:t xml:space="preserve">7.4.1.1 Each permit granted by the Board of Selectmen under this section shall: </w:t>
      </w:r>
    </w:p>
    <w:p w:rsidR="00992322" w:rsidRPr="00992322" w:rsidRDefault="00992322" w:rsidP="00992322">
      <w:pPr>
        <w:pStyle w:val="Default"/>
        <w:rPr>
          <w:rFonts w:asciiTheme="minorHAnsi" w:hAnsiTheme="minorHAnsi"/>
        </w:rPr>
      </w:pPr>
      <w:r w:rsidRPr="00992322">
        <w:rPr>
          <w:rFonts w:asciiTheme="minorHAnsi" w:hAnsiTheme="minorHAnsi" w:cs="Times New Roman"/>
        </w:rPr>
        <w:lastRenderedPageBreak/>
        <w:t xml:space="preserve">a. specify the maximum number of such vehicles that may be kept, stored, or allowed to remain on such parcel; </w:t>
      </w:r>
    </w:p>
    <w:p w:rsidR="00992322" w:rsidRPr="00992322" w:rsidRDefault="00992322" w:rsidP="00992322">
      <w:pPr>
        <w:pStyle w:val="Default"/>
        <w:rPr>
          <w:rFonts w:asciiTheme="minorHAnsi" w:hAnsiTheme="minorHAnsi" w:cs="Times New Roman"/>
        </w:rPr>
      </w:pPr>
      <w:r w:rsidRPr="00992322">
        <w:rPr>
          <w:rFonts w:asciiTheme="minorHAnsi" w:hAnsiTheme="minorHAnsi" w:cs="Times New Roman"/>
        </w:rPr>
        <w:t xml:space="preserve">b. be limited to a reasonable period of time; and </w:t>
      </w:r>
    </w:p>
    <w:p w:rsidR="00992322" w:rsidRPr="00992322" w:rsidRDefault="00992322" w:rsidP="00992322">
      <w:pPr>
        <w:pStyle w:val="Default"/>
        <w:rPr>
          <w:rFonts w:asciiTheme="minorHAnsi" w:hAnsiTheme="minorHAnsi" w:cs="Times New Roman"/>
        </w:rPr>
      </w:pPr>
      <w:r w:rsidRPr="00992322">
        <w:rPr>
          <w:rFonts w:asciiTheme="minorHAnsi" w:hAnsiTheme="minorHAnsi" w:cs="Times New Roman"/>
        </w:rPr>
        <w:t xml:space="preserve">c. be a personal privilege of the applicant and not a grant attached to and running with the land. </w:t>
      </w:r>
    </w:p>
    <w:p w:rsidR="00992322" w:rsidRPr="00992322" w:rsidRDefault="00992322" w:rsidP="00992322">
      <w:pPr>
        <w:pStyle w:val="Default"/>
        <w:rPr>
          <w:rFonts w:asciiTheme="minorHAnsi" w:hAnsiTheme="minorHAnsi"/>
        </w:rPr>
      </w:pPr>
      <w:r w:rsidRPr="00992322">
        <w:rPr>
          <w:rFonts w:asciiTheme="minorHAnsi" w:hAnsiTheme="minorHAnsi" w:cs="Times New Roman"/>
        </w:rPr>
        <w:t xml:space="preserve">7.4.1.2 This bylaw shall not apply to vehicles which are: </w:t>
      </w:r>
    </w:p>
    <w:p w:rsidR="00992322" w:rsidRPr="00992322" w:rsidRDefault="00992322" w:rsidP="00992322">
      <w:pPr>
        <w:pStyle w:val="Default"/>
        <w:rPr>
          <w:rFonts w:asciiTheme="minorHAnsi" w:hAnsiTheme="minorHAnsi"/>
        </w:rPr>
      </w:pPr>
      <w:r w:rsidRPr="00992322">
        <w:rPr>
          <w:rFonts w:asciiTheme="minorHAnsi" w:hAnsiTheme="minorHAnsi" w:cs="Times New Roman"/>
        </w:rPr>
        <w:t xml:space="preserve">a. Stored within an enclosed building; or </w:t>
      </w:r>
    </w:p>
    <w:p w:rsidR="00992322" w:rsidRPr="00992322" w:rsidRDefault="00992322" w:rsidP="00992322">
      <w:pPr>
        <w:pStyle w:val="Default"/>
        <w:rPr>
          <w:rFonts w:asciiTheme="minorHAnsi" w:hAnsiTheme="minorHAnsi"/>
        </w:rPr>
      </w:pPr>
      <w:r w:rsidRPr="00992322">
        <w:rPr>
          <w:rFonts w:asciiTheme="minorHAnsi" w:hAnsiTheme="minorHAnsi" w:cs="Times New Roman"/>
        </w:rPr>
        <w:t xml:space="preserve">b. Designed and used as vehicles for farming, agriculture, or construction purposes. </w:t>
      </w:r>
    </w:p>
    <w:p w:rsidR="00992322" w:rsidRPr="00052945" w:rsidRDefault="00992322" w:rsidP="00624A11">
      <w:pPr>
        <w:rPr>
          <w:rFonts w:cs="Times New Roman"/>
          <w:sz w:val="24"/>
          <w:szCs w:val="24"/>
        </w:rPr>
        <w:sectPr w:rsidR="00992322" w:rsidRPr="00052945" w:rsidSect="00992322">
          <w:type w:val="continuous"/>
          <w:pgSz w:w="12240" w:h="15840"/>
          <w:pgMar w:top="720" w:right="720" w:bottom="720" w:left="720" w:header="720" w:footer="720" w:gutter="0"/>
          <w:cols w:num="2" w:space="720"/>
          <w:docGrid w:linePitch="360"/>
        </w:sectPr>
      </w:pPr>
      <w:r w:rsidRPr="00992322">
        <w:rPr>
          <w:rFonts w:cs="Times New Roman"/>
          <w:sz w:val="24"/>
          <w:szCs w:val="24"/>
        </w:rPr>
        <w:t>7.4.1.3 A-maximum often (10) unregistered vehicles may be kept on a parcel of land if said vehicles are not visible from the road or abutting properties and do n</w:t>
      </w:r>
      <w:r w:rsidR="00052945">
        <w:rPr>
          <w:rFonts w:cs="Times New Roman"/>
          <w:sz w:val="24"/>
          <w:szCs w:val="24"/>
        </w:rPr>
        <w:t>ot pose an environmental hazar</w:t>
      </w:r>
      <w:r w:rsidR="00E93CF5">
        <w:rPr>
          <w:rFonts w:cs="Times New Roman"/>
          <w:sz w:val="24"/>
          <w:szCs w:val="24"/>
        </w:rPr>
        <w:t>d.</w:t>
      </w:r>
    </w:p>
    <w:p w:rsidR="00624A11" w:rsidRPr="00624A11" w:rsidRDefault="00624A11" w:rsidP="00624A11">
      <w:pPr>
        <w:rPr>
          <w:b/>
          <w:sz w:val="32"/>
          <w:szCs w:val="32"/>
        </w:rPr>
      </w:pPr>
    </w:p>
    <w:sectPr w:rsidR="00624A11" w:rsidRPr="00624A11" w:rsidSect="0099232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A11"/>
    <w:rsid w:val="00031286"/>
    <w:rsid w:val="00052945"/>
    <w:rsid w:val="00213B60"/>
    <w:rsid w:val="00624A11"/>
    <w:rsid w:val="007064B0"/>
    <w:rsid w:val="007D0697"/>
    <w:rsid w:val="00992322"/>
    <w:rsid w:val="00A6283E"/>
    <w:rsid w:val="00BD4125"/>
    <w:rsid w:val="00E462D1"/>
    <w:rsid w:val="00E93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A11"/>
    <w:rPr>
      <w:rFonts w:ascii="Tahoma" w:hAnsi="Tahoma" w:cs="Tahoma"/>
      <w:sz w:val="16"/>
      <w:szCs w:val="16"/>
    </w:rPr>
  </w:style>
  <w:style w:type="paragraph" w:styleId="NoSpacing">
    <w:name w:val="No Spacing"/>
    <w:uiPriority w:val="1"/>
    <w:qFormat/>
    <w:rsid w:val="00BD4125"/>
    <w:pPr>
      <w:spacing w:after="0" w:line="240" w:lineRule="auto"/>
    </w:pPr>
  </w:style>
  <w:style w:type="table" w:styleId="TableGrid">
    <w:name w:val="Table Grid"/>
    <w:basedOn w:val="TableNormal"/>
    <w:uiPriority w:val="59"/>
    <w:rsid w:val="0099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232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462D1"/>
    <w:pPr>
      <w:spacing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A11"/>
    <w:rPr>
      <w:rFonts w:ascii="Tahoma" w:hAnsi="Tahoma" w:cs="Tahoma"/>
      <w:sz w:val="16"/>
      <w:szCs w:val="16"/>
    </w:rPr>
  </w:style>
  <w:style w:type="paragraph" w:styleId="NoSpacing">
    <w:name w:val="No Spacing"/>
    <w:uiPriority w:val="1"/>
    <w:qFormat/>
    <w:rsid w:val="00BD4125"/>
    <w:pPr>
      <w:spacing w:after="0" w:line="240" w:lineRule="auto"/>
    </w:pPr>
  </w:style>
  <w:style w:type="table" w:styleId="TableGrid">
    <w:name w:val="Table Grid"/>
    <w:basedOn w:val="TableNormal"/>
    <w:uiPriority w:val="59"/>
    <w:rsid w:val="0099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232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462D1"/>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975775">
      <w:bodyDiv w:val="1"/>
      <w:marLeft w:val="0"/>
      <w:marRight w:val="0"/>
      <w:marTop w:val="0"/>
      <w:marBottom w:val="0"/>
      <w:divBdr>
        <w:top w:val="none" w:sz="0" w:space="0" w:color="auto"/>
        <w:left w:val="none" w:sz="0" w:space="0" w:color="auto"/>
        <w:bottom w:val="none" w:sz="0" w:space="0" w:color="auto"/>
        <w:right w:val="none" w:sz="0" w:space="0" w:color="auto"/>
      </w:divBdr>
      <w:divsChild>
        <w:div w:id="64303413">
          <w:marLeft w:val="0"/>
          <w:marRight w:val="0"/>
          <w:marTop w:val="0"/>
          <w:marBottom w:val="0"/>
          <w:divBdr>
            <w:top w:val="none" w:sz="0" w:space="0" w:color="auto"/>
            <w:left w:val="none" w:sz="0" w:space="0" w:color="auto"/>
            <w:bottom w:val="none" w:sz="0" w:space="0" w:color="auto"/>
            <w:right w:val="none" w:sz="0" w:space="0" w:color="auto"/>
          </w:divBdr>
          <w:divsChild>
            <w:div w:id="1443963826">
              <w:marLeft w:val="0"/>
              <w:marRight w:val="0"/>
              <w:marTop w:val="0"/>
              <w:marBottom w:val="0"/>
              <w:divBdr>
                <w:top w:val="none" w:sz="0" w:space="0" w:color="auto"/>
                <w:left w:val="none" w:sz="0" w:space="0" w:color="auto"/>
                <w:bottom w:val="none" w:sz="0" w:space="0" w:color="auto"/>
                <w:right w:val="none" w:sz="0" w:space="0" w:color="auto"/>
              </w:divBdr>
              <w:divsChild>
                <w:div w:id="316225645">
                  <w:marLeft w:val="0"/>
                  <w:marRight w:val="0"/>
                  <w:marTop w:val="0"/>
                  <w:marBottom w:val="0"/>
                  <w:divBdr>
                    <w:top w:val="none" w:sz="0" w:space="0" w:color="auto"/>
                    <w:left w:val="none" w:sz="0" w:space="0" w:color="auto"/>
                    <w:bottom w:val="none" w:sz="0" w:space="0" w:color="auto"/>
                    <w:right w:val="none" w:sz="0" w:space="0" w:color="auto"/>
                  </w:divBdr>
                  <w:divsChild>
                    <w:div w:id="1443576770">
                      <w:marLeft w:val="-225"/>
                      <w:marRight w:val="-225"/>
                      <w:marTop w:val="0"/>
                      <w:marBottom w:val="0"/>
                      <w:divBdr>
                        <w:top w:val="none" w:sz="0" w:space="0" w:color="auto"/>
                        <w:left w:val="none" w:sz="0" w:space="0" w:color="auto"/>
                        <w:bottom w:val="none" w:sz="0" w:space="0" w:color="auto"/>
                        <w:right w:val="none" w:sz="0" w:space="0" w:color="auto"/>
                      </w:divBdr>
                      <w:divsChild>
                        <w:div w:id="267087328">
                          <w:marLeft w:val="0"/>
                          <w:marRight w:val="0"/>
                          <w:marTop w:val="0"/>
                          <w:marBottom w:val="0"/>
                          <w:divBdr>
                            <w:top w:val="none" w:sz="0" w:space="0" w:color="auto"/>
                            <w:left w:val="none" w:sz="0" w:space="0" w:color="auto"/>
                            <w:bottom w:val="none" w:sz="0" w:space="0" w:color="auto"/>
                            <w:right w:val="none" w:sz="0" w:space="0" w:color="auto"/>
                          </w:divBdr>
                          <w:divsChild>
                            <w:div w:id="2080442606">
                              <w:marLeft w:val="-225"/>
                              <w:marRight w:val="-225"/>
                              <w:marTop w:val="0"/>
                              <w:marBottom w:val="0"/>
                              <w:divBdr>
                                <w:top w:val="none" w:sz="0" w:space="0" w:color="auto"/>
                                <w:left w:val="none" w:sz="0" w:space="0" w:color="auto"/>
                                <w:bottom w:val="none" w:sz="0" w:space="0" w:color="auto"/>
                                <w:right w:val="none" w:sz="0" w:space="0" w:color="auto"/>
                              </w:divBdr>
                              <w:divsChild>
                                <w:div w:id="198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4CC6D-7DAA-4C0D-A823-5E6C0D2A4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Wales Planning</dc:creator>
  <cp:lastModifiedBy>Wales Planning</cp:lastModifiedBy>
  <cp:revision>2</cp:revision>
  <dcterms:created xsi:type="dcterms:W3CDTF">2020-10-07T18:17:00Z</dcterms:created>
  <dcterms:modified xsi:type="dcterms:W3CDTF">2020-10-07T18:17:00Z</dcterms:modified>
</cp:coreProperties>
</file>